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b/>
          <w:color w:val="000000"/>
          <w:sz w:val="20"/>
          <w:szCs w:val="20"/>
        </w:rPr>
        <w:t>Środa 22.04.2020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b/>
          <w:color w:val="000000"/>
          <w:sz w:val="20"/>
          <w:szCs w:val="20"/>
        </w:rPr>
        <w:t>Plan dnia (sytuacja edukacyjna):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</w:p>
    <w:p w:rsidR="00E1235D" w:rsidRPr="00C82C69" w:rsidRDefault="00E1235D" w:rsidP="00E12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Kolorowanie rysunków zwierząt z wiejskiego podwórka.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Rysunki i zdjęcia zwierząt z wiejskiego podwórka, kredki.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Układamy na stole zdjęcia zwierząt z wiejskiego podwórka. Dzieci podają ich nazwy. Następnie losują z pojemnika rysunki tych zwierząt i je kolorują. Starają się zachować rzeczywisty wygląd zwierząt. Przyglądają się w tym celu ułożonym na stole zdjęciom.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sz w:val="20"/>
          <w:szCs w:val="20"/>
        </w:rPr>
      </w:pPr>
      <w:r w:rsidRPr="00C82C69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C82C69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Zabawy ze zwierzętami </w:t>
      </w:r>
      <w:r w:rsidRPr="00C82C69">
        <w:rPr>
          <w:rFonts w:asciiTheme="majorHAnsi" w:hAnsiTheme="majorHAnsi" w:cs="MyriadPro-Bold"/>
          <w:b/>
          <w:bCs/>
          <w:sz w:val="20"/>
          <w:szCs w:val="20"/>
        </w:rPr>
        <w:t>– zajęcia matematyczne.</w:t>
      </w:r>
    </w:p>
    <w:p w:rsidR="00E1235D" w:rsidRPr="00C82C69" w:rsidRDefault="00E1235D" w:rsidP="00E12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Segregowanie i przeliczanie elementów zbioru.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Wykonane przez dzieci obrazki zwierząt wiejskich, dwie obręcze.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Dzieci siedzą w kole. Układają przed sobą wykonane wcześniej obrazki zwierząt wiejskich. Umieszczamy w środku koła dwie obręcze. Pytamy, czy można podzielić te zwierzęta na dwie grupy. Dzieci podają propozycje (np. zwierzęta, które mają dwie lub cztery nogi) i układają odpowiednio obrazki zwierząt w obręczach. Przy pomocy dorosłego przeliczają elementy zbiorów.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Układając obrazki parami, sprawdzają, których zwierząt jest więcej. Pytamy, czy mają jeszcze jakieś inne propozycje dotyczące podziału tych obrazków zwierząt na grupy. Jeśli nie, wyjaśnia, że można jeszcze dokonać podziału w zależności od tego, czy zwierzę jest ptakiem, czy nim nie jest. Pytamy: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Jakie charakterystyczne cechy mają ptaki?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(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S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krzydła, dzioby, pióra). Dzieci układają właściwe obrazki w obręczach – w jednej ptaki, w drugiej pozostałe zwierzęta.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Wskazujemy obręcz, w której znajdują się zwierzęta niebędące ptakami. Wyjaśnia, że są to ssaki, czyli zwierzęta, które po urodzeniu odżywiają się mlekiem matki.</w:t>
      </w:r>
    </w:p>
    <w:p w:rsidR="00E1235D" w:rsidRPr="00C82C69" w:rsidRDefault="00E1235D" w:rsidP="00E12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Zabawa ruchowa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Pora karmienia.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Tamburyn.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Dzieci swobodnie maszerują po sali, naśladując sposób poruszania się kury. Na dźwięk tamburynu zatrzymują się, kucają i stukają palcem wskazującym w podłogę – jedzą ziarenka.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b/>
          <w:color w:val="000000"/>
          <w:sz w:val="20"/>
          <w:szCs w:val="20"/>
        </w:rPr>
        <w:t>Zestaw zabaw ruchowych:</w:t>
      </w:r>
    </w:p>
    <w:p w:rsidR="00E1235D" w:rsidRPr="00C82C69" w:rsidRDefault="00E1235D" w:rsidP="00E12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Zabawa orientacyjno-porządkowa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Kury na grzędzie.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Dzieci ustawiają się w pięcioosobowych rzędach (rzędy stoją obok siebie, w pewnej odległości) – to kury siedzące w kurniku na grzędach. Każde dziecko układa przed sobą gazetę i wykonuje na niej siad klęczny. Na dźwięk tamburynu kury wychodzą na podwórko i poruszają się po nim w sposób charakterystyczny dla tych zwierząt. Na przerwę w grze wracają do kurnika, na swoje miejsca. Przyjmują pozycję wyjściową.</w:t>
      </w:r>
    </w:p>
    <w:p w:rsidR="00E1235D" w:rsidRPr="00C82C69" w:rsidRDefault="00E1235D" w:rsidP="00E12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Ćwiczenie wyprostne –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Uwaga, lis!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Dzieci są kurami. Poruszają się po całej sali w sposób charakterystyczny dla tych zwierząt. Na hasło: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 xml:space="preserve">Lis, </w:t>
      </w:r>
      <w:r w:rsidRPr="00C82C69">
        <w:rPr>
          <w:rFonts w:asciiTheme="majorHAnsi" w:hAnsiTheme="majorHAnsi" w:cs="MyriadPro-Regular"/>
          <w:sz w:val="20"/>
          <w:szCs w:val="20"/>
        </w:rPr>
        <w:t>zatrzymują się natychmiast w miejscu, prostują plecy, kładą gazety na głowie i stoją nieruchomo do chwili, aż usłyszą ponowny dźwięk tamburynu.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sz w:val="20"/>
          <w:szCs w:val="20"/>
        </w:rPr>
      </w:pPr>
      <w:r w:rsidRPr="00C82C69">
        <w:rPr>
          <w:rFonts w:asciiTheme="majorHAnsi" w:hAnsiTheme="majorHAnsi" w:cs="MyriadPro-Regular"/>
          <w:b/>
          <w:sz w:val="20"/>
          <w:szCs w:val="20"/>
        </w:rPr>
        <w:t>Inne formy:</w:t>
      </w:r>
    </w:p>
    <w:p w:rsidR="00E1235D" w:rsidRPr="00C82C69" w:rsidRDefault="00E1235D" w:rsidP="00E12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Układanie zdrobnień do nazw młodych zwierząt. Zachęcanie do samodzielnej zabawy słowami.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Zdjęcia przedstawiające młode, wiejskie zwierzęta, np.: źrebię, kaczę, kurczątko, cielę, prosię.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Układamy na stole zdjęcia przedstawiające młode, wiejskie zwierzęta. Dzieci podają ich nazwy, a następnie układają zdrobnienia, np. źrebię – źrebaczek, źrebiątko; cielę – cielaczek, cielątko. Podajemy dzieciom przykłady zabawnych rymów do zdrobnień, np.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Źrebaczek założy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fraczek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.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Cielątko lubi małpiątko. Prosiaczek zdjął kubraczek.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Zachęcamy dzieci do samodzielnej zabawy słowami i układania rymów (mogą to być również rymy niezwiązane ze zwierzętami,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np.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tacki – placki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).</w:t>
      </w:r>
    </w:p>
    <w:p w:rsidR="00E1235D" w:rsidRPr="00C82C69" w:rsidRDefault="00E1235D" w:rsidP="00E12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Karta pracy, cz. 4, nr 36.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Dzieci: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łączą obrazki zwierząt z ich cieniami,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rysują w ogonie każdego koguta tyle piór, ile wskazuje liczba kropek na karteczce.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b/>
          <w:sz w:val="20"/>
          <w:szCs w:val="20"/>
        </w:rPr>
      </w:pPr>
      <w:r w:rsidRPr="00C82C69">
        <w:rPr>
          <w:rFonts w:asciiTheme="majorHAnsi" w:hAnsiTheme="majorHAnsi" w:cs="MyriadPro-Regular"/>
          <w:b/>
          <w:sz w:val="20"/>
          <w:szCs w:val="20"/>
        </w:rPr>
        <w:t xml:space="preserve">Poniżej znajduje się link do pobrania karty pracy </w:t>
      </w:r>
      <w:proofErr w:type="spellStart"/>
      <w:r w:rsidRPr="00C82C69">
        <w:rPr>
          <w:rFonts w:asciiTheme="majorHAnsi" w:hAnsiTheme="majorHAnsi" w:cs="MyriadPro-Regular"/>
          <w:b/>
          <w:sz w:val="20"/>
          <w:szCs w:val="20"/>
        </w:rPr>
        <w:t>nr</w:t>
      </w:r>
      <w:proofErr w:type="spellEnd"/>
      <w:r w:rsidRPr="00C82C69">
        <w:rPr>
          <w:rFonts w:asciiTheme="majorHAnsi" w:hAnsiTheme="majorHAnsi" w:cs="MyriadPro-Regular"/>
          <w:b/>
          <w:sz w:val="20"/>
          <w:szCs w:val="20"/>
        </w:rPr>
        <w:t>. 36</w:t>
      </w:r>
    </w:p>
    <w:p w:rsidR="00E1235D" w:rsidRPr="00C82C69" w:rsidRDefault="00E1235D" w:rsidP="00E123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b/>
          <w:sz w:val="20"/>
          <w:szCs w:val="20"/>
        </w:rPr>
      </w:pPr>
      <w:hyperlink r:id="rId5" w:history="1">
        <w:r w:rsidRPr="00C82C69">
          <w:rPr>
            <w:rStyle w:val="Hipercze"/>
            <w:rFonts w:asciiTheme="majorHAnsi" w:hAnsiTheme="majorHAnsi" w:cs="MyriadPro-Regular"/>
            <w:b/>
            <w:sz w:val="20"/>
            <w:szCs w:val="20"/>
          </w:rPr>
          <w:t>http://flipbooki.mac.pl/przedszkole/oia-aplus-kp-2/</w:t>
        </w:r>
      </w:hyperlink>
    </w:p>
    <w:p w:rsidR="00833C66" w:rsidRDefault="00833C66"/>
    <w:sectPr w:rsidR="00833C66" w:rsidSect="0083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A8"/>
    <w:multiLevelType w:val="hybridMultilevel"/>
    <w:tmpl w:val="EFC4B848"/>
    <w:lvl w:ilvl="0" w:tplc="3E4C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35D"/>
    <w:rsid w:val="00833C66"/>
    <w:rsid w:val="00E1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2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ipbooki.mac.pl/przedszkole/oia-aplus-kp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3054</Characters>
  <Application>Microsoft Office Word</Application>
  <DocSecurity>0</DocSecurity>
  <Lines>25</Lines>
  <Paragraphs>7</Paragraphs>
  <ScaleCrop>false</ScaleCrop>
  <Company>Hewlett-Packard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2020-04-19T10:40:00Z</dcterms:created>
  <dcterms:modified xsi:type="dcterms:W3CDTF">2020-04-19T10:40:00Z</dcterms:modified>
</cp:coreProperties>
</file>